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0C9F7" w14:textId="77777777" w:rsidR="003B6681" w:rsidRDefault="003B6681" w:rsidP="003B668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455B4F" w14:textId="49679647" w:rsidR="000262CA" w:rsidRPr="00FA2EBC" w:rsidRDefault="000262CA" w:rsidP="003B66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2EBC">
        <w:rPr>
          <w:rFonts w:ascii="Arial" w:hAnsi="Arial" w:cs="Arial"/>
          <w:b/>
          <w:sz w:val="24"/>
          <w:szCs w:val="24"/>
        </w:rPr>
        <w:t>ANEXO I</w:t>
      </w:r>
    </w:p>
    <w:p w14:paraId="76CCD903" w14:textId="55EF0DFA" w:rsidR="000262CA" w:rsidRPr="00FA2EBC" w:rsidRDefault="000262CA" w:rsidP="00AA4B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2EBC">
        <w:rPr>
          <w:rFonts w:ascii="Arial" w:hAnsi="Arial" w:cs="Arial"/>
          <w:b/>
          <w:sz w:val="24"/>
          <w:szCs w:val="24"/>
        </w:rPr>
        <w:t>EDITAL DE CONCURSO PÚBLICO</w:t>
      </w:r>
    </w:p>
    <w:p w14:paraId="1AC10786" w14:textId="77777777" w:rsidR="003B6681" w:rsidRDefault="003B6681" w:rsidP="003B6681">
      <w:pPr>
        <w:spacing w:after="0" w:line="360" w:lineRule="auto"/>
      </w:pPr>
    </w:p>
    <w:p w14:paraId="103D31A5" w14:textId="77777777" w:rsidR="00FA2EBC" w:rsidRPr="003B6681" w:rsidRDefault="00FA2EBC" w:rsidP="003B6681">
      <w:pPr>
        <w:spacing w:after="0" w:line="360" w:lineRule="auto"/>
      </w:pPr>
    </w:p>
    <w:p w14:paraId="48183B26" w14:textId="77777777" w:rsidR="001A2C3E" w:rsidRDefault="001A2C3E" w:rsidP="00FA2EBC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A2C3E">
        <w:rPr>
          <w:rFonts w:ascii="Arial" w:hAnsi="Arial" w:cs="Arial"/>
        </w:rPr>
        <w:t>O edital de concurso público, com fundamento no Anexo VII da Instrução Normativa N.TC-11/2011 do Tribunal de Contas do Estado de Santa Catarina, deverá conter, no mínimo, as seguintes informações:</w:t>
      </w:r>
    </w:p>
    <w:p w14:paraId="33A68E4C" w14:textId="77777777" w:rsidR="001A2C3E" w:rsidRDefault="001A2C3E" w:rsidP="00FA2EBC">
      <w:pPr>
        <w:spacing w:after="0" w:line="276" w:lineRule="auto"/>
        <w:jc w:val="both"/>
        <w:rPr>
          <w:rFonts w:ascii="Arial" w:hAnsi="Arial" w:cs="Arial"/>
        </w:rPr>
      </w:pPr>
    </w:p>
    <w:p w14:paraId="097F6171" w14:textId="64A1F0FA" w:rsidR="00AA4B47" w:rsidRPr="003B6681" w:rsidRDefault="00AA4B47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1. Objetivo do concurso;</w:t>
      </w:r>
    </w:p>
    <w:p w14:paraId="6EB660AB" w14:textId="76C9D8B4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2. Indicação do cargo ou emprego, com a re</w:t>
      </w:r>
      <w:r w:rsidR="009B3A02" w:rsidRPr="003B6681">
        <w:rPr>
          <w:rFonts w:ascii="Arial" w:hAnsi="Arial" w:cs="Arial"/>
        </w:rPr>
        <w:t xml:space="preserve">spectiva especificação, área de </w:t>
      </w:r>
      <w:r w:rsidRPr="003B6681">
        <w:rPr>
          <w:rFonts w:ascii="Arial" w:hAnsi="Arial" w:cs="Arial"/>
        </w:rPr>
        <w:t>atividade ou especialidade;</w:t>
      </w:r>
    </w:p>
    <w:p w14:paraId="65A7821F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3. Regime jurídico a que será submetido o servidor;</w:t>
      </w:r>
    </w:p>
    <w:p w14:paraId="6637BECB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4. Carga horária de trabalho;</w:t>
      </w:r>
    </w:p>
    <w:p w14:paraId="039F624B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5. Indicação do local e órgão de lotação dos aprovados;</w:t>
      </w:r>
    </w:p>
    <w:p w14:paraId="148A83FB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6. Vencimento ou salário;</w:t>
      </w:r>
    </w:p>
    <w:p w14:paraId="20F5F885" w14:textId="35F4E944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7. Vantagens financeiras previstas para o cargo/emprego (por exemplo: vale</w:t>
      </w:r>
      <w:r w:rsidR="009B3A02" w:rsidRPr="003B6681">
        <w:rPr>
          <w:rFonts w:ascii="Arial" w:hAnsi="Arial" w:cs="Arial"/>
        </w:rPr>
        <w:t xml:space="preserve"> </w:t>
      </w:r>
      <w:r w:rsidRPr="003B6681">
        <w:rPr>
          <w:rFonts w:ascii="Arial" w:hAnsi="Arial" w:cs="Arial"/>
        </w:rPr>
        <w:t>transporte, vale-refeição, vale-alimentação, gratificações);</w:t>
      </w:r>
    </w:p>
    <w:p w14:paraId="174BD2F9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8. Descrição sumária das atribuições do cargo ou emprego;</w:t>
      </w:r>
    </w:p>
    <w:p w14:paraId="52E946F7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9. Quantidade de vagas;</w:t>
      </w:r>
    </w:p>
    <w:p w14:paraId="5A544786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10. Período, horário e local de inscrição;</w:t>
      </w:r>
    </w:p>
    <w:p w14:paraId="6E48B8B1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11. Valor da taxa de inscrição, se houver;</w:t>
      </w:r>
    </w:p>
    <w:p w14:paraId="7C04FC4E" w14:textId="3581DA4A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 xml:space="preserve">12. Requisitos ou exigências para inscrição no </w:t>
      </w:r>
      <w:r w:rsidR="009B3A02" w:rsidRPr="003B6681">
        <w:rPr>
          <w:rFonts w:ascii="Arial" w:hAnsi="Arial" w:cs="Arial"/>
        </w:rPr>
        <w:t xml:space="preserve">concurso e investidura no cargo </w:t>
      </w:r>
      <w:r w:rsidRPr="003B6681">
        <w:rPr>
          <w:rFonts w:ascii="Arial" w:hAnsi="Arial" w:cs="Arial"/>
        </w:rPr>
        <w:t>ou emprego (exemplos: idade mínima ou máx</w:t>
      </w:r>
      <w:r w:rsidR="009B3A02" w:rsidRPr="003B6681">
        <w:rPr>
          <w:rFonts w:ascii="Arial" w:hAnsi="Arial" w:cs="Arial"/>
        </w:rPr>
        <w:t xml:space="preserve">ima, diploma de ensino superior </w:t>
      </w:r>
      <w:r w:rsidRPr="003B6681">
        <w:rPr>
          <w:rFonts w:ascii="Arial" w:hAnsi="Arial" w:cs="Arial"/>
        </w:rPr>
        <w:t>para candidatos a cargo ou emprego de nível superi</w:t>
      </w:r>
      <w:r w:rsidR="009B3A02" w:rsidRPr="003B6681">
        <w:rPr>
          <w:rFonts w:ascii="Arial" w:hAnsi="Arial" w:cs="Arial"/>
        </w:rPr>
        <w:t xml:space="preserve">or, diploma ou outros </w:t>
      </w:r>
      <w:r w:rsidRPr="003B6681">
        <w:rPr>
          <w:rFonts w:ascii="Arial" w:hAnsi="Arial" w:cs="Arial"/>
        </w:rPr>
        <w:t>requisitos previstos em lei, tais como carteira de</w:t>
      </w:r>
      <w:r w:rsidR="009B3A02" w:rsidRPr="003B6681">
        <w:rPr>
          <w:rFonts w:ascii="Arial" w:hAnsi="Arial" w:cs="Arial"/>
        </w:rPr>
        <w:t xml:space="preserve"> motorista na categoria própria </w:t>
      </w:r>
      <w:r w:rsidRPr="003B6681">
        <w:rPr>
          <w:rFonts w:ascii="Arial" w:hAnsi="Arial" w:cs="Arial"/>
        </w:rPr>
        <w:t>para cargos ou funções que requeiram co</w:t>
      </w:r>
      <w:r w:rsidR="009B3A02" w:rsidRPr="003B6681">
        <w:rPr>
          <w:rFonts w:ascii="Arial" w:hAnsi="Arial" w:cs="Arial"/>
        </w:rPr>
        <w:t xml:space="preserve">ndução de veículos ou máquinas, </w:t>
      </w:r>
      <w:r w:rsidRPr="003B6681">
        <w:rPr>
          <w:rFonts w:ascii="Arial" w:hAnsi="Arial" w:cs="Arial"/>
        </w:rPr>
        <w:t>investigação social ou psicotécnico para ca</w:t>
      </w:r>
      <w:r w:rsidR="009B3A02" w:rsidRPr="003B6681">
        <w:rPr>
          <w:rFonts w:ascii="Arial" w:hAnsi="Arial" w:cs="Arial"/>
        </w:rPr>
        <w:t xml:space="preserve">rgos que exijam adequado padrão </w:t>
      </w:r>
      <w:r w:rsidRPr="003B6681">
        <w:rPr>
          <w:rFonts w:ascii="Arial" w:hAnsi="Arial" w:cs="Arial"/>
        </w:rPr>
        <w:t>de comportamento de acordo com a legislação aplicável);</w:t>
      </w:r>
    </w:p>
    <w:p w14:paraId="2E3DD6BF" w14:textId="52D7B0CB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13. Menção de que os documentos com</w:t>
      </w:r>
      <w:r w:rsidR="009B3A02" w:rsidRPr="003B6681">
        <w:rPr>
          <w:rFonts w:ascii="Arial" w:hAnsi="Arial" w:cs="Arial"/>
        </w:rPr>
        <w:t xml:space="preserve">probatórios dos requisitos para </w:t>
      </w:r>
      <w:r w:rsidRPr="003B6681">
        <w:rPr>
          <w:rFonts w:ascii="Arial" w:hAnsi="Arial" w:cs="Arial"/>
        </w:rPr>
        <w:t>investidura no cargo devem ser apresentados no momento da posse;</w:t>
      </w:r>
    </w:p>
    <w:p w14:paraId="15641849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14. Tipo e número de provas, disciplinas e conteúdo programático;</w:t>
      </w:r>
    </w:p>
    <w:p w14:paraId="0CF6E693" w14:textId="43CBB9FC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 xml:space="preserve">15. Menção quanto </w:t>
      </w:r>
      <w:r w:rsidR="00B96781">
        <w:rPr>
          <w:rFonts w:ascii="Arial" w:hAnsi="Arial" w:cs="Arial"/>
        </w:rPr>
        <w:t>à</w:t>
      </w:r>
      <w:r w:rsidRPr="003B6681">
        <w:rPr>
          <w:rFonts w:ascii="Arial" w:hAnsi="Arial" w:cs="Arial"/>
        </w:rPr>
        <w:t xml:space="preserve"> natureza do concur</w:t>
      </w:r>
      <w:r w:rsidR="009B3A02" w:rsidRPr="003B6681">
        <w:rPr>
          <w:rFonts w:ascii="Arial" w:hAnsi="Arial" w:cs="Arial"/>
        </w:rPr>
        <w:t xml:space="preserve">so (se de provas ou de provas e </w:t>
      </w:r>
      <w:r w:rsidRPr="003B6681">
        <w:rPr>
          <w:rFonts w:ascii="Arial" w:hAnsi="Arial" w:cs="Arial"/>
        </w:rPr>
        <w:t>títulos, conforme previsão do art. 37, II, da CF);</w:t>
      </w:r>
    </w:p>
    <w:p w14:paraId="3A23BD7E" w14:textId="1F6D2054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16. Critérios de avaliação, de classificaçã</w:t>
      </w:r>
      <w:r w:rsidR="009B3A02" w:rsidRPr="003B6681">
        <w:rPr>
          <w:rFonts w:ascii="Arial" w:hAnsi="Arial" w:cs="Arial"/>
        </w:rPr>
        <w:t xml:space="preserve">o e de desempate (a exemplo dos </w:t>
      </w:r>
      <w:r w:rsidRPr="003B6681">
        <w:rPr>
          <w:rFonts w:ascii="Arial" w:hAnsi="Arial" w:cs="Arial"/>
        </w:rPr>
        <w:t xml:space="preserve">critérios de desempate estabelecidos pelo art. 27, </w:t>
      </w:r>
      <w:r w:rsidR="003B6681">
        <w:rPr>
          <w:rFonts w:ascii="Arial" w:hAnsi="Arial" w:cs="Arial"/>
        </w:rPr>
        <w:t>parágrafo</w:t>
      </w:r>
      <w:r w:rsidRPr="003B6681">
        <w:rPr>
          <w:rFonts w:ascii="Arial" w:hAnsi="Arial" w:cs="Arial"/>
        </w:rPr>
        <w:t xml:space="preserve"> único</w:t>
      </w:r>
      <w:r w:rsidR="003B6681">
        <w:rPr>
          <w:rFonts w:ascii="Arial" w:hAnsi="Arial" w:cs="Arial"/>
        </w:rPr>
        <w:t>,</w:t>
      </w:r>
      <w:r w:rsidRPr="003B6681">
        <w:rPr>
          <w:rFonts w:ascii="Arial" w:hAnsi="Arial" w:cs="Arial"/>
        </w:rPr>
        <w:t xml:space="preserve"> d</w:t>
      </w:r>
      <w:r w:rsidR="003B6681">
        <w:rPr>
          <w:rFonts w:ascii="Arial" w:hAnsi="Arial" w:cs="Arial"/>
        </w:rPr>
        <w:t xml:space="preserve">o Estatuto do Idoso </w:t>
      </w:r>
      <w:r w:rsidRPr="003B6681">
        <w:rPr>
          <w:rFonts w:ascii="Arial" w:hAnsi="Arial" w:cs="Arial"/>
        </w:rPr>
        <w:t>- Lei federal nº 10.741/2003);</w:t>
      </w:r>
    </w:p>
    <w:p w14:paraId="337675B4" w14:textId="24A085A1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17. Data, horário e local de realização da</w:t>
      </w:r>
      <w:r w:rsidR="009B3A02" w:rsidRPr="003B6681">
        <w:rPr>
          <w:rFonts w:ascii="Arial" w:hAnsi="Arial" w:cs="Arial"/>
        </w:rPr>
        <w:t xml:space="preserve">s provas ou instrução sobre sua </w:t>
      </w:r>
      <w:r w:rsidRPr="003B6681">
        <w:rPr>
          <w:rFonts w:ascii="Arial" w:hAnsi="Arial" w:cs="Arial"/>
        </w:rPr>
        <w:t>posterior divulgação por meio de edital ou aviso;</w:t>
      </w:r>
    </w:p>
    <w:p w14:paraId="6AA68D02" w14:textId="242CCBBE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18. Instruções sobre as provas e sobre a apr</w:t>
      </w:r>
      <w:r w:rsidR="009B3A02" w:rsidRPr="003B6681">
        <w:rPr>
          <w:rFonts w:ascii="Arial" w:hAnsi="Arial" w:cs="Arial"/>
        </w:rPr>
        <w:t xml:space="preserve">esentação de recursos (exemplo: </w:t>
      </w:r>
      <w:r w:rsidRPr="003B6681">
        <w:rPr>
          <w:rFonts w:ascii="Arial" w:hAnsi="Arial" w:cs="Arial"/>
        </w:rPr>
        <w:t>permissão para o uso ou não, nas provas, de ca</w:t>
      </w:r>
      <w:r w:rsidR="009B3A02" w:rsidRPr="003B6681">
        <w:rPr>
          <w:rFonts w:ascii="Arial" w:hAnsi="Arial" w:cs="Arial"/>
        </w:rPr>
        <w:t xml:space="preserve">lculadora, indicação do prazo e </w:t>
      </w:r>
      <w:r w:rsidRPr="003B6681">
        <w:rPr>
          <w:rFonts w:ascii="Arial" w:hAnsi="Arial" w:cs="Arial"/>
        </w:rPr>
        <w:t>da forma de apresentação de recurso e d</w:t>
      </w:r>
      <w:r w:rsidR="009B3A02" w:rsidRPr="003B6681">
        <w:rPr>
          <w:rFonts w:ascii="Arial" w:hAnsi="Arial" w:cs="Arial"/>
        </w:rPr>
        <w:t xml:space="preserve">a autoridade para quem deve ser </w:t>
      </w:r>
      <w:r w:rsidRPr="003B6681">
        <w:rPr>
          <w:rFonts w:ascii="Arial" w:hAnsi="Arial" w:cs="Arial"/>
        </w:rPr>
        <w:t>apresentado);</w:t>
      </w:r>
    </w:p>
    <w:p w14:paraId="127C7A9E" w14:textId="77777777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19. Definição de prazos para cumprimento de exigências, quando for o caso;</w:t>
      </w:r>
    </w:p>
    <w:p w14:paraId="337E7AE5" w14:textId="2131C8B0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 xml:space="preserve">20. Prazo de validade do concurso (segundo o </w:t>
      </w:r>
      <w:r w:rsidR="009B3A02" w:rsidRPr="003B6681">
        <w:rPr>
          <w:rFonts w:ascii="Arial" w:hAnsi="Arial" w:cs="Arial"/>
        </w:rPr>
        <w:t xml:space="preserve">art. 37, III, da CF, o prazo de </w:t>
      </w:r>
      <w:r w:rsidRPr="003B6681">
        <w:rPr>
          <w:rFonts w:ascii="Arial" w:hAnsi="Arial" w:cs="Arial"/>
        </w:rPr>
        <w:t>validade do concurso é de até 2 (dois) anos, p</w:t>
      </w:r>
      <w:r w:rsidR="009B3A02" w:rsidRPr="003B6681">
        <w:rPr>
          <w:rFonts w:ascii="Arial" w:hAnsi="Arial" w:cs="Arial"/>
        </w:rPr>
        <w:t xml:space="preserve">rorrogável, apenas uma vez, por </w:t>
      </w:r>
      <w:r w:rsidRPr="003B6681">
        <w:rPr>
          <w:rFonts w:ascii="Arial" w:hAnsi="Arial" w:cs="Arial"/>
        </w:rPr>
        <w:t>igual período. O prazo de prorrogação deve ser igual ao prazo inicial);</w:t>
      </w:r>
    </w:p>
    <w:p w14:paraId="511A8042" w14:textId="7E19DA39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21. Normas legais e regulamentares que dão</w:t>
      </w:r>
      <w:r w:rsidR="009B3A02" w:rsidRPr="003B6681">
        <w:rPr>
          <w:rFonts w:ascii="Arial" w:hAnsi="Arial" w:cs="Arial"/>
        </w:rPr>
        <w:t xml:space="preserve"> suporte ao edital normativo do </w:t>
      </w:r>
      <w:r w:rsidRPr="003B6681">
        <w:rPr>
          <w:rFonts w:ascii="Arial" w:hAnsi="Arial" w:cs="Arial"/>
        </w:rPr>
        <w:t>concurso;</w:t>
      </w:r>
    </w:p>
    <w:p w14:paraId="105B31A5" w14:textId="731A9CAE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lastRenderedPageBreak/>
        <w:t>22. Reserva de vagas para portadores de defi</w:t>
      </w:r>
      <w:r w:rsidR="009B3A02" w:rsidRPr="003B6681">
        <w:rPr>
          <w:rFonts w:ascii="Arial" w:hAnsi="Arial" w:cs="Arial"/>
        </w:rPr>
        <w:t xml:space="preserve">ciência em obediência ao inciso </w:t>
      </w:r>
      <w:r w:rsidR="00E4798F" w:rsidRPr="003B6681">
        <w:rPr>
          <w:rFonts w:ascii="Arial" w:hAnsi="Arial" w:cs="Arial"/>
        </w:rPr>
        <w:t>VIII</w:t>
      </w:r>
      <w:r w:rsidR="00760545">
        <w:rPr>
          <w:rFonts w:ascii="Arial" w:hAnsi="Arial" w:cs="Arial"/>
        </w:rPr>
        <w:t>,</w:t>
      </w:r>
      <w:r w:rsidR="00E4798F" w:rsidRPr="003B6681">
        <w:rPr>
          <w:rFonts w:ascii="Arial" w:hAnsi="Arial" w:cs="Arial"/>
        </w:rPr>
        <w:t xml:space="preserve"> </w:t>
      </w:r>
      <w:r w:rsidRPr="003B6681">
        <w:rPr>
          <w:rFonts w:ascii="Arial" w:hAnsi="Arial" w:cs="Arial"/>
        </w:rPr>
        <w:t>do art. 37</w:t>
      </w:r>
      <w:r w:rsidR="00760545">
        <w:rPr>
          <w:rFonts w:ascii="Arial" w:hAnsi="Arial" w:cs="Arial"/>
        </w:rPr>
        <w:t>,</w:t>
      </w:r>
      <w:r w:rsidRPr="003B6681">
        <w:rPr>
          <w:rFonts w:ascii="Arial" w:hAnsi="Arial" w:cs="Arial"/>
        </w:rPr>
        <w:t xml:space="preserve"> da Constituição Federal;</w:t>
      </w:r>
    </w:p>
    <w:p w14:paraId="40AF8C47" w14:textId="7CBE2915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23. Identificação do órgão ou entidade</w:t>
      </w:r>
      <w:r w:rsidR="009B3A02" w:rsidRPr="003B6681">
        <w:rPr>
          <w:rFonts w:ascii="Arial" w:hAnsi="Arial" w:cs="Arial"/>
        </w:rPr>
        <w:t xml:space="preserve"> público que promove o concurso </w:t>
      </w:r>
      <w:r w:rsidRPr="003B6681">
        <w:rPr>
          <w:rFonts w:ascii="Arial" w:hAnsi="Arial" w:cs="Arial"/>
        </w:rPr>
        <w:t>público;</w:t>
      </w:r>
    </w:p>
    <w:p w14:paraId="4517F852" w14:textId="468E5128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24. Nome da instituição contratada para realiza</w:t>
      </w:r>
      <w:r w:rsidR="009B3A02" w:rsidRPr="003B6681">
        <w:rPr>
          <w:rFonts w:ascii="Arial" w:hAnsi="Arial" w:cs="Arial"/>
        </w:rPr>
        <w:t xml:space="preserve">r o concurso, quando o órgão ou </w:t>
      </w:r>
      <w:r w:rsidRPr="003B6681">
        <w:rPr>
          <w:rFonts w:ascii="Arial" w:hAnsi="Arial" w:cs="Arial"/>
        </w:rPr>
        <w:t>entidade promotor não executar diretamente o certame;</w:t>
      </w:r>
      <w:bookmarkStart w:id="0" w:name="_GoBack"/>
      <w:bookmarkEnd w:id="0"/>
    </w:p>
    <w:p w14:paraId="3B9DF0CA" w14:textId="1E50B299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25. Havendo previsão de dispensa de paga</w:t>
      </w:r>
      <w:r w:rsidR="009B3A02" w:rsidRPr="003B6681">
        <w:rPr>
          <w:rFonts w:ascii="Arial" w:hAnsi="Arial" w:cs="Arial"/>
        </w:rPr>
        <w:t xml:space="preserve">mento da taxa de inscrição para </w:t>
      </w:r>
      <w:r w:rsidRPr="003B6681">
        <w:rPr>
          <w:rFonts w:ascii="Arial" w:hAnsi="Arial" w:cs="Arial"/>
        </w:rPr>
        <w:t>doadores, deverá ser mencionado o dispositivo</w:t>
      </w:r>
      <w:r w:rsidR="009B3A02" w:rsidRPr="003B6681">
        <w:rPr>
          <w:rFonts w:ascii="Arial" w:hAnsi="Arial" w:cs="Arial"/>
        </w:rPr>
        <w:t xml:space="preserve"> legal que autoriza dispensa de </w:t>
      </w:r>
      <w:r w:rsidRPr="003B6681">
        <w:rPr>
          <w:rFonts w:ascii="Arial" w:hAnsi="Arial" w:cs="Arial"/>
        </w:rPr>
        <w:t>pagamento de inscrição e quais condições;</w:t>
      </w:r>
    </w:p>
    <w:p w14:paraId="396A7C13" w14:textId="3023CB8D" w:rsidR="000262CA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26. Informar se existe previsão de curs</w:t>
      </w:r>
      <w:r w:rsidR="009B3A02" w:rsidRPr="003B6681">
        <w:rPr>
          <w:rFonts w:ascii="Arial" w:hAnsi="Arial" w:cs="Arial"/>
        </w:rPr>
        <w:t xml:space="preserve">o de formação profissional para </w:t>
      </w:r>
      <w:r w:rsidRPr="003B6681">
        <w:rPr>
          <w:rFonts w:ascii="Arial" w:hAnsi="Arial" w:cs="Arial"/>
        </w:rPr>
        <w:t>candidatos a cargos, mencionando a forma de realização deste curso</w:t>
      </w:r>
      <w:r w:rsidR="009B3A02" w:rsidRPr="003B6681">
        <w:rPr>
          <w:rFonts w:ascii="Arial" w:hAnsi="Arial" w:cs="Arial"/>
        </w:rPr>
        <w:t xml:space="preserve"> de </w:t>
      </w:r>
      <w:r w:rsidRPr="003B6681">
        <w:rPr>
          <w:rFonts w:ascii="Arial" w:hAnsi="Arial" w:cs="Arial"/>
        </w:rPr>
        <w:t>formação, conforme legislação específica.</w:t>
      </w:r>
    </w:p>
    <w:p w14:paraId="24CE3163" w14:textId="77777777" w:rsidR="00AA4B47" w:rsidRPr="003B6681" w:rsidRDefault="00AA4B47" w:rsidP="00FA2EBC">
      <w:pPr>
        <w:spacing w:after="0" w:line="276" w:lineRule="auto"/>
        <w:jc w:val="both"/>
        <w:rPr>
          <w:rFonts w:ascii="Arial" w:hAnsi="Arial" w:cs="Arial"/>
        </w:rPr>
      </w:pPr>
    </w:p>
    <w:p w14:paraId="537A0546" w14:textId="77777777" w:rsidR="009B3A02" w:rsidRPr="003B6681" w:rsidRDefault="000262CA" w:rsidP="00FA2EBC">
      <w:pPr>
        <w:spacing w:after="0" w:line="276" w:lineRule="auto"/>
        <w:jc w:val="both"/>
        <w:rPr>
          <w:rFonts w:ascii="Arial" w:hAnsi="Arial" w:cs="Arial"/>
          <w:b/>
        </w:rPr>
      </w:pPr>
      <w:r w:rsidRPr="003B6681">
        <w:rPr>
          <w:rFonts w:ascii="Arial" w:hAnsi="Arial" w:cs="Arial"/>
          <w:b/>
        </w:rPr>
        <w:t>OBSERVAÇÕES:</w:t>
      </w:r>
    </w:p>
    <w:p w14:paraId="510EC9F3" w14:textId="476F7D73" w:rsidR="009B3A02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1. O edital deve ser publica</w:t>
      </w:r>
      <w:r w:rsidR="009B3A02" w:rsidRPr="003B6681">
        <w:rPr>
          <w:rFonts w:ascii="Arial" w:hAnsi="Arial" w:cs="Arial"/>
        </w:rPr>
        <w:t xml:space="preserve">do no </w:t>
      </w:r>
      <w:r w:rsidR="003B6681" w:rsidRPr="003B6681">
        <w:rPr>
          <w:rFonts w:ascii="Arial" w:hAnsi="Arial" w:cs="Arial"/>
        </w:rPr>
        <w:t>Diário Oficial</w:t>
      </w:r>
      <w:r w:rsidR="003B6681">
        <w:rPr>
          <w:rFonts w:ascii="Arial" w:hAnsi="Arial" w:cs="Arial"/>
        </w:rPr>
        <w:t xml:space="preserve"> e</w:t>
      </w:r>
      <w:r w:rsidR="009B3A02" w:rsidRPr="003B6681">
        <w:rPr>
          <w:rFonts w:ascii="Arial" w:hAnsi="Arial" w:cs="Arial"/>
        </w:rPr>
        <w:t xml:space="preserve"> em </w:t>
      </w:r>
      <w:r w:rsidRPr="003B6681">
        <w:rPr>
          <w:rFonts w:ascii="Arial" w:hAnsi="Arial" w:cs="Arial"/>
        </w:rPr>
        <w:t xml:space="preserve">jornal de circulação local (princípio da </w:t>
      </w:r>
      <w:r w:rsidR="009B3A02" w:rsidRPr="003B6681">
        <w:rPr>
          <w:rFonts w:ascii="Arial" w:hAnsi="Arial" w:cs="Arial"/>
        </w:rPr>
        <w:t xml:space="preserve">publicidade, art. 37, caput, da </w:t>
      </w:r>
      <w:r w:rsidRPr="003B6681">
        <w:rPr>
          <w:rFonts w:ascii="Arial" w:hAnsi="Arial" w:cs="Arial"/>
        </w:rPr>
        <w:t xml:space="preserve">Constituição Federal). </w:t>
      </w:r>
    </w:p>
    <w:p w14:paraId="0CF2E032" w14:textId="2D783C0B" w:rsidR="006155DB" w:rsidRPr="003B6681" w:rsidRDefault="000262CA" w:rsidP="00FA2EBC">
      <w:pPr>
        <w:spacing w:after="0" w:line="276" w:lineRule="auto"/>
        <w:jc w:val="both"/>
        <w:rPr>
          <w:rFonts w:ascii="Arial" w:hAnsi="Arial" w:cs="Arial"/>
        </w:rPr>
      </w:pPr>
      <w:r w:rsidRPr="003B6681">
        <w:rPr>
          <w:rFonts w:ascii="Arial" w:hAnsi="Arial" w:cs="Arial"/>
        </w:rPr>
        <w:t>2. O edital deve ser disponibilizado inte</w:t>
      </w:r>
      <w:r w:rsidR="009B3A02" w:rsidRPr="003B6681">
        <w:rPr>
          <w:rFonts w:ascii="Arial" w:hAnsi="Arial" w:cs="Arial"/>
        </w:rPr>
        <w:t xml:space="preserve">gralmente na </w:t>
      </w:r>
      <w:r w:rsidRPr="003B6681">
        <w:rPr>
          <w:rFonts w:ascii="Arial" w:hAnsi="Arial" w:cs="Arial"/>
        </w:rPr>
        <w:t>internet no site oficial do órgão ou entidade p</w:t>
      </w:r>
      <w:r w:rsidR="009B3A02" w:rsidRPr="003B6681">
        <w:rPr>
          <w:rFonts w:ascii="Arial" w:hAnsi="Arial" w:cs="Arial"/>
        </w:rPr>
        <w:t xml:space="preserve">romotora do concurso (princípio </w:t>
      </w:r>
      <w:r w:rsidRPr="003B6681">
        <w:rPr>
          <w:rFonts w:ascii="Arial" w:hAnsi="Arial" w:cs="Arial"/>
        </w:rPr>
        <w:t>da publicidade, art. 37, caput, da Constituição Federal), se houver.</w:t>
      </w:r>
    </w:p>
    <w:sectPr w:rsidR="006155DB" w:rsidRPr="003B6681" w:rsidSect="000262CA">
      <w:headerReference w:type="default" r:id="rId8"/>
      <w:footerReference w:type="even" r:id="rId9"/>
      <w:footerReference w:type="default" r:id="rId10"/>
      <w:type w:val="continuous"/>
      <w:pgSz w:w="11906" w:h="16838"/>
      <w:pgMar w:top="322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58BC6" w14:textId="77777777" w:rsidR="00EC04A0" w:rsidRDefault="00EC04A0" w:rsidP="00CB6F81">
      <w:pPr>
        <w:spacing w:after="0" w:line="240" w:lineRule="auto"/>
      </w:pPr>
      <w:r>
        <w:separator/>
      </w:r>
    </w:p>
  </w:endnote>
  <w:endnote w:type="continuationSeparator" w:id="0">
    <w:p w14:paraId="446AA538" w14:textId="77777777" w:rsidR="00EC04A0" w:rsidRDefault="00EC04A0" w:rsidP="00CB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F3F53" w14:textId="77777777" w:rsidR="00BB38DA" w:rsidRDefault="00BB38DA" w:rsidP="00BB38DA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8989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FDBC658" w14:textId="167EEECE" w:rsidR="00D82FDD" w:rsidRPr="00D23BD5" w:rsidRDefault="00D82FDD" w:rsidP="00D23BD5">
            <w:pPr>
              <w:pStyle w:val="Rodap"/>
              <w:pBdr>
                <w:top w:val="single" w:sz="12" w:space="1" w:color="auto"/>
              </w:pBdr>
              <w:jc w:val="center"/>
              <w:rPr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Rua Benjamin Constant, n.º 28,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sala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70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71,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72,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73,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74 e 80 – 7º </w:t>
            </w:r>
            <w:r w:rsidR="00D23BD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e 8º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andar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- Centro Executivo </w:t>
            </w:r>
            <w:proofErr w:type="spellStart"/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Cepar</w:t>
            </w:r>
            <w:proofErr w:type="spellEnd"/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, </w:t>
            </w:r>
            <w:r w:rsidR="00D23BD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Centro, Lages/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SC</w:t>
            </w:r>
            <w:r w:rsidR="00D23BD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88501-90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3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|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(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49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) 3019-7475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| 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auditoria@lages.sc.gov.br</w:t>
            </w:r>
          </w:p>
          <w:p w14:paraId="249C73C2" w14:textId="2591D69D" w:rsidR="00D82FDD" w:rsidRPr="007A4521" w:rsidRDefault="00D82FDD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52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A452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054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A45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4EC0" w:rsidRPr="007A4521">
              <w:rPr>
                <w:rFonts w:ascii="Arial" w:hAnsi="Arial" w:cs="Arial"/>
                <w:sz w:val="16"/>
                <w:szCs w:val="16"/>
              </w:rPr>
              <w:t>/</w:t>
            </w:r>
            <w:r w:rsidRPr="007A45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A452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054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3D171E6" w14:textId="77777777" w:rsidR="00D82FDD" w:rsidRDefault="00D82F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3AC6" w14:textId="77777777" w:rsidR="00EC04A0" w:rsidRDefault="00EC04A0" w:rsidP="00CB6F81">
      <w:pPr>
        <w:spacing w:after="0" w:line="240" w:lineRule="auto"/>
      </w:pPr>
      <w:r>
        <w:separator/>
      </w:r>
    </w:p>
  </w:footnote>
  <w:footnote w:type="continuationSeparator" w:id="0">
    <w:p w14:paraId="7CAC8D48" w14:textId="77777777" w:rsidR="00EC04A0" w:rsidRDefault="00EC04A0" w:rsidP="00CB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496F5" w14:textId="0C1BB88F" w:rsidR="003E76EB" w:rsidRPr="00BB38DA" w:rsidRDefault="00E954A4" w:rsidP="00034EC0">
    <w:pPr>
      <w:pStyle w:val="Cabealho"/>
      <w:pBdr>
        <w:bottom w:val="single" w:sz="12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E840B7C" wp14:editId="2F718941">
          <wp:extent cx="5462650" cy="818434"/>
          <wp:effectExtent l="0" t="0" r="5080" b="1270"/>
          <wp:docPr id="4637263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26310" name="Imagem 463726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279" cy="82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60BF"/>
    <w:multiLevelType w:val="hybridMultilevel"/>
    <w:tmpl w:val="0D34CC92"/>
    <w:lvl w:ilvl="0" w:tplc="B088D886">
      <w:start w:val="1"/>
      <w:numFmt w:val="decimal"/>
      <w:lvlText w:val="%1."/>
      <w:lvlJc w:val="left"/>
      <w:pPr>
        <w:ind w:left="1287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CD3409"/>
    <w:multiLevelType w:val="hybridMultilevel"/>
    <w:tmpl w:val="F1282D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81"/>
    <w:rsid w:val="000262CA"/>
    <w:rsid w:val="00034EC0"/>
    <w:rsid w:val="00041D30"/>
    <w:rsid w:val="0004535D"/>
    <w:rsid w:val="000738A8"/>
    <w:rsid w:val="000A7095"/>
    <w:rsid w:val="000C1DEA"/>
    <w:rsid w:val="000C3D15"/>
    <w:rsid w:val="000C4EE9"/>
    <w:rsid w:val="000F0464"/>
    <w:rsid w:val="00116F46"/>
    <w:rsid w:val="00134D69"/>
    <w:rsid w:val="001675AF"/>
    <w:rsid w:val="0017581F"/>
    <w:rsid w:val="001810AC"/>
    <w:rsid w:val="001A2C3E"/>
    <w:rsid w:val="001D7A22"/>
    <w:rsid w:val="001E030B"/>
    <w:rsid w:val="002023E3"/>
    <w:rsid w:val="00207674"/>
    <w:rsid w:val="00227D90"/>
    <w:rsid w:val="00231EA1"/>
    <w:rsid w:val="00254777"/>
    <w:rsid w:val="002907E3"/>
    <w:rsid w:val="002C083C"/>
    <w:rsid w:val="002C395D"/>
    <w:rsid w:val="002E3821"/>
    <w:rsid w:val="002E5573"/>
    <w:rsid w:val="003A1F2D"/>
    <w:rsid w:val="003A4682"/>
    <w:rsid w:val="003A5A94"/>
    <w:rsid w:val="003B6681"/>
    <w:rsid w:val="003E76EB"/>
    <w:rsid w:val="003F124B"/>
    <w:rsid w:val="003F6EE5"/>
    <w:rsid w:val="00430BD4"/>
    <w:rsid w:val="004E7728"/>
    <w:rsid w:val="00513FE7"/>
    <w:rsid w:val="00517BE0"/>
    <w:rsid w:val="0056047C"/>
    <w:rsid w:val="005E192D"/>
    <w:rsid w:val="005F34AF"/>
    <w:rsid w:val="00606F2B"/>
    <w:rsid w:val="006155DB"/>
    <w:rsid w:val="006332C0"/>
    <w:rsid w:val="00657056"/>
    <w:rsid w:val="00662466"/>
    <w:rsid w:val="00666E9D"/>
    <w:rsid w:val="006A2A6C"/>
    <w:rsid w:val="006B1C29"/>
    <w:rsid w:val="006F2DF3"/>
    <w:rsid w:val="006F3AEC"/>
    <w:rsid w:val="006F7B8D"/>
    <w:rsid w:val="00702935"/>
    <w:rsid w:val="0072205D"/>
    <w:rsid w:val="007240C6"/>
    <w:rsid w:val="00760545"/>
    <w:rsid w:val="00764B5D"/>
    <w:rsid w:val="0076541E"/>
    <w:rsid w:val="00774F71"/>
    <w:rsid w:val="007A4521"/>
    <w:rsid w:val="007C6F95"/>
    <w:rsid w:val="007D2EC4"/>
    <w:rsid w:val="007E3B71"/>
    <w:rsid w:val="00800422"/>
    <w:rsid w:val="0081298D"/>
    <w:rsid w:val="00827139"/>
    <w:rsid w:val="008361D1"/>
    <w:rsid w:val="00867BE0"/>
    <w:rsid w:val="008856AF"/>
    <w:rsid w:val="00902EEA"/>
    <w:rsid w:val="00904949"/>
    <w:rsid w:val="00915981"/>
    <w:rsid w:val="0095423C"/>
    <w:rsid w:val="009B3A02"/>
    <w:rsid w:val="009F725B"/>
    <w:rsid w:val="00A20AB3"/>
    <w:rsid w:val="00A44B85"/>
    <w:rsid w:val="00A4670E"/>
    <w:rsid w:val="00A67209"/>
    <w:rsid w:val="00A76BA6"/>
    <w:rsid w:val="00A76E58"/>
    <w:rsid w:val="00A83693"/>
    <w:rsid w:val="00A861EC"/>
    <w:rsid w:val="00A92296"/>
    <w:rsid w:val="00A9602F"/>
    <w:rsid w:val="00AA4B47"/>
    <w:rsid w:val="00AE09ED"/>
    <w:rsid w:val="00AE181D"/>
    <w:rsid w:val="00B0491F"/>
    <w:rsid w:val="00B17982"/>
    <w:rsid w:val="00B37C31"/>
    <w:rsid w:val="00B462B2"/>
    <w:rsid w:val="00B66102"/>
    <w:rsid w:val="00B74B03"/>
    <w:rsid w:val="00B83C70"/>
    <w:rsid w:val="00B90786"/>
    <w:rsid w:val="00B96781"/>
    <w:rsid w:val="00BB38DA"/>
    <w:rsid w:val="00BF2D4E"/>
    <w:rsid w:val="00BF6790"/>
    <w:rsid w:val="00C147DB"/>
    <w:rsid w:val="00C363AA"/>
    <w:rsid w:val="00C4164E"/>
    <w:rsid w:val="00C575C9"/>
    <w:rsid w:val="00C6640B"/>
    <w:rsid w:val="00CB6F81"/>
    <w:rsid w:val="00CC0448"/>
    <w:rsid w:val="00CD0A46"/>
    <w:rsid w:val="00CF5E13"/>
    <w:rsid w:val="00D17EC6"/>
    <w:rsid w:val="00D23BD5"/>
    <w:rsid w:val="00D335A8"/>
    <w:rsid w:val="00D70F19"/>
    <w:rsid w:val="00D77AA6"/>
    <w:rsid w:val="00D82FDD"/>
    <w:rsid w:val="00D93793"/>
    <w:rsid w:val="00DF6385"/>
    <w:rsid w:val="00E04FFF"/>
    <w:rsid w:val="00E13358"/>
    <w:rsid w:val="00E3357F"/>
    <w:rsid w:val="00E454AD"/>
    <w:rsid w:val="00E4798F"/>
    <w:rsid w:val="00E5156B"/>
    <w:rsid w:val="00E528FD"/>
    <w:rsid w:val="00E674C3"/>
    <w:rsid w:val="00E954A4"/>
    <w:rsid w:val="00E95511"/>
    <w:rsid w:val="00EA1EFD"/>
    <w:rsid w:val="00EC04A0"/>
    <w:rsid w:val="00ED7159"/>
    <w:rsid w:val="00EE5F77"/>
    <w:rsid w:val="00F0259F"/>
    <w:rsid w:val="00F347FF"/>
    <w:rsid w:val="00FA2EBC"/>
    <w:rsid w:val="00FB2B98"/>
    <w:rsid w:val="00FB6079"/>
    <w:rsid w:val="00FC6B32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E772"/>
  <w15:chartTrackingRefBased/>
  <w15:docId w15:val="{C0269189-101B-4B25-A7D9-6466202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F81"/>
  </w:style>
  <w:style w:type="paragraph" w:styleId="Rodap">
    <w:name w:val="footer"/>
    <w:basedOn w:val="Normal"/>
    <w:link w:val="Rodap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F81"/>
  </w:style>
  <w:style w:type="character" w:customStyle="1" w:styleId="w8qarf">
    <w:name w:val="w8qarf"/>
    <w:basedOn w:val="Fontepargpadro"/>
    <w:rsid w:val="00BB38DA"/>
  </w:style>
  <w:style w:type="character" w:customStyle="1" w:styleId="lrzxr">
    <w:name w:val="lrzxr"/>
    <w:basedOn w:val="Fontepargpadro"/>
    <w:rsid w:val="00BB38DA"/>
  </w:style>
  <w:style w:type="paragraph" w:styleId="Recuodecorpodetexto">
    <w:name w:val="Body Text Indent"/>
    <w:basedOn w:val="Normal"/>
    <w:link w:val="RecuodecorpodetextoChar"/>
    <w:uiPriority w:val="99"/>
    <w:unhideWhenUsed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55DB"/>
    <w:rPr>
      <w:rFonts w:ascii="Arial" w:eastAsiaTheme="minorEastAsia" w:hAnsi="Arial" w:cs="Arial"/>
      <w:sz w:val="19"/>
      <w:szCs w:val="19"/>
      <w:lang w:eastAsia="pt-BR"/>
    </w:rPr>
  </w:style>
  <w:style w:type="table" w:styleId="Tabelacomgrade">
    <w:name w:val="Table Grid"/>
    <w:basedOn w:val="Tabelanormal"/>
    <w:uiPriority w:val="39"/>
    <w:rsid w:val="0061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A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5A94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paragraph" w:customStyle="1" w:styleId="titulo">
    <w:name w:val="titulo"/>
    <w:basedOn w:val="Normal"/>
    <w:rsid w:val="006F3AEC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/>
    </w:rPr>
  </w:style>
  <w:style w:type="character" w:styleId="Hyperlink">
    <w:name w:val="Hyperlink"/>
    <w:basedOn w:val="Fontepargpadro"/>
    <w:uiPriority w:val="99"/>
    <w:unhideWhenUsed/>
    <w:rsid w:val="00836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3A87-AD82-46EF-9718-CBA0E9A4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cillabranco@yahoo.com.br</dc:creator>
  <cp:keywords/>
  <dc:description/>
  <cp:lastModifiedBy>auditoria28</cp:lastModifiedBy>
  <cp:revision>6</cp:revision>
  <cp:lastPrinted>2024-10-10T14:44:00Z</cp:lastPrinted>
  <dcterms:created xsi:type="dcterms:W3CDTF">2024-11-29T18:03:00Z</dcterms:created>
  <dcterms:modified xsi:type="dcterms:W3CDTF">2024-12-16T19:42:00Z</dcterms:modified>
</cp:coreProperties>
</file>